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000000"/>
          <w:sz w:val="36"/>
          <w:szCs w:val="36"/>
          <w:lang w:val="zh-CN"/>
        </w:rPr>
      </w:pPr>
      <w:r>
        <w:rPr>
          <w:rFonts w:hint="eastAsia" w:ascii="方正小标宋简体" w:eastAsia="方正小标宋简体"/>
          <w:bCs/>
          <w:color w:val="000000"/>
          <w:sz w:val="36"/>
          <w:szCs w:val="36"/>
        </w:rPr>
        <w:t>西华大学</w:t>
      </w:r>
      <w:r>
        <w:rPr>
          <w:rFonts w:hint="eastAsia" w:ascii="方正小标宋简体" w:eastAsia="方正小标宋简体"/>
          <w:bCs/>
          <w:color w:val="000000"/>
          <w:sz w:val="36"/>
          <w:szCs w:val="36"/>
          <w:lang w:val="zh-CN"/>
        </w:rPr>
        <w:t>校内专升本选拔工作实施意见</w:t>
      </w:r>
    </w:p>
    <w:p>
      <w:pPr>
        <w:jc w:val="center"/>
        <w:rPr>
          <w:rFonts w:hint="eastAsia" w:ascii="方正小标宋简体" w:eastAsia="方正小标宋简体"/>
          <w:bCs/>
          <w:color w:val="000000"/>
          <w:sz w:val="36"/>
          <w:szCs w:val="36"/>
          <w:lang w:val="zh-CN"/>
        </w:rPr>
      </w:pP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根据《四川省教育厅关于2016年普通高等学校选拔优秀专科毕业生进入本科阶段学习的通知》（川教函〔</w:t>
      </w:r>
      <w:r>
        <w:rPr>
          <w:rFonts w:ascii="仿宋" w:hAnsi="仿宋" w:eastAsia="仿宋"/>
          <w:sz w:val="32"/>
          <w:szCs w:val="30"/>
        </w:rPr>
        <w:t>2016</w:t>
      </w:r>
      <w:r>
        <w:rPr>
          <w:rFonts w:hint="eastAsia" w:ascii="仿宋" w:hAnsi="仿宋" w:eastAsia="仿宋"/>
          <w:sz w:val="32"/>
          <w:szCs w:val="30"/>
        </w:rPr>
        <w:t>〕</w:t>
      </w:r>
      <w:r>
        <w:rPr>
          <w:rFonts w:ascii="仿宋" w:hAnsi="仿宋" w:eastAsia="仿宋"/>
          <w:sz w:val="32"/>
          <w:szCs w:val="30"/>
        </w:rPr>
        <w:t>151</w:t>
      </w:r>
      <w:r>
        <w:rPr>
          <w:rFonts w:hint="eastAsia" w:ascii="仿宋" w:hAnsi="仿宋" w:eastAsia="仿宋"/>
          <w:sz w:val="32"/>
          <w:szCs w:val="30"/>
        </w:rPr>
        <w:t>号）的文件精神，及《西华大学专升本工作管理办法》（西华行字〔2015〕41号）的文件精神，经学校研究，决定201</w:t>
      </w:r>
      <w:r>
        <w:rPr>
          <w:rFonts w:hint="eastAsia" w:ascii="仿宋" w:hAnsi="仿宋" w:eastAsia="仿宋"/>
          <w:sz w:val="32"/>
          <w:szCs w:val="30"/>
          <w:lang w:val="en-US" w:eastAsia="zh-CN"/>
        </w:rPr>
        <w:t>7</w:t>
      </w:r>
      <w:r>
        <w:rPr>
          <w:rFonts w:hint="eastAsia" w:ascii="仿宋" w:hAnsi="仿宋" w:eastAsia="仿宋"/>
          <w:sz w:val="32"/>
          <w:szCs w:val="30"/>
        </w:rPr>
        <w:t>年继续开展校内“专升本”工作。</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一、成立专升本工作领导小组</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坚持公开、公平、公正、择优、集体决策的原则开展“专升本”工作。专升本工作由学校授权，专升本工作领导小组集体决策，按照上级通知精神制定相应实施细则并公示。教务处负责组织实施，学校纪委、监察处负责全程监督和跟踪。</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二、专升本考务</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（一）命题</w:t>
      </w:r>
    </w:p>
    <w:p>
      <w:pPr>
        <w:spacing w:line="500" w:lineRule="exact"/>
        <w:ind w:firstLine="640" w:firstLineChars="200"/>
        <w:rPr>
          <w:rFonts w:hint="eastAsia" w:ascii="仿宋" w:hAnsi="仿宋" w:eastAsia="仿宋"/>
          <w:sz w:val="32"/>
          <w:szCs w:val="30"/>
        </w:rPr>
      </w:pPr>
      <w:r>
        <w:rPr>
          <w:rFonts w:hint="eastAsia" w:ascii="仿宋" w:hAnsi="仿宋" w:eastAsia="仿宋"/>
          <w:b/>
          <w:bCs/>
          <w:color w:val="FF0000"/>
          <w:sz w:val="32"/>
          <w:szCs w:val="30"/>
        </w:rPr>
        <w:t>专升本聘请校内、外专家按照专升本考试大纲要求命题，考试由学校自主命题。</w:t>
      </w:r>
      <w:r>
        <w:rPr>
          <w:rFonts w:hint="eastAsia" w:ascii="仿宋" w:hAnsi="仿宋" w:eastAsia="仿宋"/>
          <w:sz w:val="32"/>
          <w:szCs w:val="30"/>
        </w:rPr>
        <w:t>命题人须与学校签订“西华大学专升本命题保密责任书”。</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（二）试卷印制</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专升本试卷印制由具有保密资质的印刷厂印制，并与学校签订“西华大学试卷印刷安全协议”。印制时间一般为考试前1周。</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（三）试卷保管</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试卷印制完毕，至少由3人共同护送存放于学校保密室。校内外考点在试卷的转移、交付等运输过程中，必须有2人及以上人员护送。</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（四）阅卷</w:t>
      </w:r>
    </w:p>
    <w:p>
      <w:pPr>
        <w:spacing w:line="500" w:lineRule="exact"/>
        <w:ind w:firstLine="640" w:firstLineChars="200"/>
        <w:rPr>
          <w:rFonts w:hint="eastAsia" w:ascii="仿宋" w:hAnsi="仿宋" w:eastAsia="仿宋"/>
          <w:sz w:val="32"/>
          <w:szCs w:val="30"/>
        </w:rPr>
      </w:pPr>
      <w:r>
        <w:rPr>
          <w:rFonts w:hint="eastAsia" w:ascii="仿宋" w:hAnsi="仿宋" w:eastAsia="仿宋"/>
          <w:b/>
          <w:bCs/>
          <w:color w:val="FF0000"/>
          <w:sz w:val="32"/>
          <w:szCs w:val="30"/>
        </w:rPr>
        <w:t>阅卷在校外进行，专人负责，密封阅卷，现场登录成绩。</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（五）试卷销毁</w:t>
      </w:r>
    </w:p>
    <w:p>
      <w:pPr>
        <w:spacing w:line="500" w:lineRule="exact"/>
        <w:ind w:firstLine="640" w:firstLineChars="200"/>
        <w:rPr>
          <w:rFonts w:hint="eastAsia" w:ascii="仿宋" w:hAnsi="仿宋" w:eastAsia="仿宋"/>
          <w:b/>
          <w:bCs/>
          <w:color w:val="FF0000"/>
          <w:sz w:val="32"/>
          <w:szCs w:val="30"/>
        </w:rPr>
      </w:pPr>
      <w:r>
        <w:rPr>
          <w:rFonts w:hint="eastAsia" w:ascii="仿宋" w:hAnsi="仿宋" w:eastAsia="仿宋"/>
          <w:b/>
          <w:bCs/>
          <w:color w:val="FF0000"/>
          <w:sz w:val="32"/>
          <w:szCs w:val="30"/>
        </w:rPr>
        <w:t>专升本考试试卷保存期为一年。一年后，试卷由学校保密办公室集中销毁。</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三、专升本选拨程序与录取</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（一）免试推荐</w:t>
      </w:r>
    </w:p>
    <w:p>
      <w:pPr>
        <w:spacing w:line="500" w:lineRule="exact"/>
        <w:ind w:firstLine="585"/>
        <w:rPr>
          <w:rFonts w:hint="eastAsia" w:ascii="仿宋" w:hAnsi="仿宋" w:eastAsia="仿宋"/>
          <w:sz w:val="32"/>
          <w:szCs w:val="30"/>
        </w:rPr>
      </w:pPr>
      <w:r>
        <w:rPr>
          <w:rFonts w:hint="eastAsia" w:ascii="仿宋" w:hAnsi="仿宋" w:eastAsia="仿宋"/>
          <w:b/>
          <w:bCs/>
          <w:color w:val="FF0000"/>
          <w:sz w:val="32"/>
          <w:szCs w:val="30"/>
        </w:rPr>
        <w:t>对入伍并获三等功以上奖励的人员，按照国家有关文件实行免试录取。</w:t>
      </w:r>
      <w:r>
        <w:rPr>
          <w:rFonts w:hint="eastAsia" w:ascii="仿宋" w:hAnsi="仿宋" w:eastAsia="仿宋"/>
          <w:sz w:val="32"/>
          <w:szCs w:val="30"/>
        </w:rPr>
        <w:t>免试推荐升入本科阶段学习的预录取名单，在学校公示无异议后，上报四川省教育厅高教处审批，经省教育厅审核同意后在秋季开学时升入本科相同或相近专业三年级学习。</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（二）考试选拔</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1.选拔基本条件与报名</w:t>
      </w:r>
    </w:p>
    <w:p>
      <w:pPr>
        <w:autoSpaceDE w:val="0"/>
        <w:autoSpaceDN w:val="0"/>
        <w:adjustRightInd w:val="0"/>
        <w:spacing w:line="500" w:lineRule="exact"/>
        <w:ind w:firstLine="480" w:firstLineChars="150"/>
        <w:rPr>
          <w:rFonts w:ascii="仿宋" w:hAnsi="仿宋" w:eastAsia="仿宋"/>
          <w:b/>
          <w:bCs/>
          <w:color w:val="FF0000"/>
          <w:sz w:val="32"/>
          <w:szCs w:val="30"/>
        </w:rPr>
      </w:pPr>
      <w:r>
        <w:rPr>
          <w:rFonts w:hint="eastAsia" w:ascii="仿宋" w:hAnsi="仿宋" w:eastAsia="仿宋"/>
          <w:b/>
          <w:bCs/>
          <w:color w:val="FF0000"/>
          <w:sz w:val="32"/>
          <w:szCs w:val="30"/>
        </w:rPr>
        <w:t>（1）在校期间政治思想表现优秀，未受到任何纪律处分</w:t>
      </w:r>
    </w:p>
    <w:p>
      <w:pPr>
        <w:autoSpaceDE w:val="0"/>
        <w:autoSpaceDN w:val="0"/>
        <w:adjustRightInd w:val="0"/>
        <w:spacing w:line="500" w:lineRule="exact"/>
        <w:rPr>
          <w:rFonts w:hint="eastAsia" w:ascii="仿宋" w:hAnsi="仿宋" w:eastAsia="仿宋"/>
          <w:b/>
          <w:bCs/>
          <w:color w:val="FF0000"/>
          <w:sz w:val="32"/>
          <w:szCs w:val="30"/>
        </w:rPr>
      </w:pPr>
      <w:r>
        <w:rPr>
          <w:rFonts w:ascii="仿宋" w:hAnsi="仿宋" w:eastAsia="仿宋"/>
          <w:b/>
          <w:bCs/>
          <w:color w:val="FF0000"/>
          <w:sz w:val="32"/>
          <w:szCs w:val="30"/>
        </w:rPr>
        <w:t xml:space="preserve">   </w:t>
      </w:r>
      <w:r>
        <w:rPr>
          <w:rFonts w:hint="eastAsia" w:ascii="仿宋" w:hAnsi="仿宋" w:eastAsia="仿宋"/>
          <w:b/>
          <w:bCs/>
          <w:color w:val="FF0000"/>
          <w:sz w:val="32"/>
          <w:szCs w:val="30"/>
        </w:rPr>
        <w:t>（2）学习成绩优秀。截止报名时已修课程全部合格，未因成绩原因受过学籍处理。</w:t>
      </w:r>
    </w:p>
    <w:p>
      <w:pPr>
        <w:autoSpaceDE w:val="0"/>
        <w:autoSpaceDN w:val="0"/>
        <w:adjustRightInd w:val="0"/>
        <w:spacing w:line="500" w:lineRule="exact"/>
        <w:ind w:firstLine="480" w:firstLineChars="150"/>
        <w:rPr>
          <w:rFonts w:hint="eastAsia" w:ascii="仿宋" w:hAnsi="仿宋" w:eastAsia="仿宋"/>
          <w:b/>
          <w:bCs/>
          <w:color w:val="FF0000"/>
          <w:sz w:val="32"/>
          <w:szCs w:val="30"/>
        </w:rPr>
      </w:pPr>
      <w:r>
        <w:rPr>
          <w:rFonts w:hint="eastAsia" w:ascii="仿宋" w:hAnsi="仿宋" w:eastAsia="仿宋"/>
          <w:b/>
          <w:bCs/>
          <w:color w:val="FF0000"/>
          <w:sz w:val="32"/>
          <w:szCs w:val="30"/>
        </w:rPr>
        <w:t>（3）身心健康。</w:t>
      </w:r>
    </w:p>
    <w:p>
      <w:pPr>
        <w:autoSpaceDE w:val="0"/>
        <w:autoSpaceDN w:val="0"/>
        <w:adjustRightInd w:val="0"/>
        <w:spacing w:line="500" w:lineRule="exact"/>
        <w:ind w:firstLine="640" w:firstLineChars="200"/>
        <w:rPr>
          <w:rFonts w:hint="eastAsia" w:ascii="仿宋" w:hAnsi="仿宋" w:eastAsia="仿宋"/>
          <w:b/>
          <w:bCs/>
          <w:color w:val="FF0000"/>
          <w:sz w:val="32"/>
          <w:szCs w:val="30"/>
        </w:rPr>
      </w:pPr>
      <w:r>
        <w:rPr>
          <w:rFonts w:hint="eastAsia" w:ascii="仿宋" w:hAnsi="仿宋" w:eastAsia="仿宋"/>
          <w:b/>
          <w:bCs/>
          <w:color w:val="FF0000"/>
          <w:sz w:val="32"/>
          <w:szCs w:val="30"/>
        </w:rPr>
        <w:t>凡符合选拔基本条件的应届专科毕业学生，</w:t>
      </w:r>
      <w:r>
        <w:rPr>
          <w:rFonts w:hint="eastAsia" w:ascii="仿宋" w:hAnsi="仿宋" w:eastAsia="仿宋"/>
          <w:b/>
          <w:bCs/>
          <w:color w:val="FF0000"/>
          <w:sz w:val="32"/>
          <w:szCs w:val="30"/>
          <w:lang w:eastAsia="zh-CN"/>
        </w:rPr>
        <w:t>由各专科学院组织本院专科学生</w:t>
      </w:r>
      <w:r>
        <w:rPr>
          <w:rFonts w:hint="eastAsia" w:ascii="仿宋" w:hAnsi="仿宋" w:eastAsia="仿宋"/>
          <w:b/>
          <w:bCs/>
          <w:color w:val="FF0000"/>
          <w:sz w:val="32"/>
          <w:szCs w:val="30"/>
        </w:rPr>
        <w:t>报名</w:t>
      </w:r>
      <w:r>
        <w:rPr>
          <w:rFonts w:hint="eastAsia" w:ascii="仿宋" w:hAnsi="仿宋" w:eastAsia="仿宋"/>
          <w:b/>
          <w:bCs/>
          <w:color w:val="FF0000"/>
          <w:sz w:val="32"/>
          <w:szCs w:val="30"/>
          <w:lang w:eastAsia="zh-CN"/>
        </w:rPr>
        <w:t>后汇总到</w:t>
      </w:r>
      <w:r>
        <w:rPr>
          <w:rFonts w:hint="eastAsia" w:ascii="仿宋" w:hAnsi="仿宋" w:eastAsia="仿宋"/>
          <w:b/>
          <w:bCs/>
          <w:color w:val="FF0000"/>
          <w:sz w:val="32"/>
          <w:szCs w:val="30"/>
        </w:rPr>
        <w:t>校本部教务处（同时，将专科阶段成绩&lt;占20%部分&gt;和符合奖励加分条件的有关证件原件和复印件报校本部教务处审核），并将“专升本”报名考试费每生80元交校本部计财处。</w:t>
      </w:r>
    </w:p>
    <w:p>
      <w:pPr>
        <w:autoSpaceDE w:val="0"/>
        <w:autoSpaceDN w:val="0"/>
        <w:adjustRightInd w:val="0"/>
        <w:spacing w:line="500" w:lineRule="exact"/>
        <w:ind w:firstLine="640" w:firstLineChars="200"/>
        <w:rPr>
          <w:rFonts w:hint="eastAsia" w:ascii="仿宋" w:hAnsi="仿宋" w:eastAsia="仿宋"/>
          <w:sz w:val="32"/>
          <w:szCs w:val="30"/>
        </w:rPr>
      </w:pPr>
      <w:r>
        <w:rPr>
          <w:rFonts w:hint="eastAsia" w:ascii="仿宋" w:hAnsi="仿宋" w:eastAsia="仿宋"/>
          <w:sz w:val="32"/>
          <w:szCs w:val="30"/>
        </w:rPr>
        <w:t>2.公布考试大纲</w:t>
      </w:r>
    </w:p>
    <w:p>
      <w:pPr>
        <w:autoSpaceDE w:val="0"/>
        <w:autoSpaceDN w:val="0"/>
        <w:adjustRightInd w:val="0"/>
        <w:spacing w:line="500" w:lineRule="exact"/>
        <w:ind w:firstLine="600"/>
        <w:rPr>
          <w:rFonts w:hint="eastAsia" w:ascii="仿宋" w:hAnsi="仿宋" w:eastAsia="仿宋"/>
          <w:b/>
          <w:bCs/>
          <w:color w:val="FF0000"/>
          <w:sz w:val="32"/>
          <w:szCs w:val="30"/>
        </w:rPr>
      </w:pPr>
      <w:r>
        <w:rPr>
          <w:rFonts w:hint="eastAsia" w:ascii="仿宋" w:hAnsi="仿宋" w:eastAsia="仿宋"/>
          <w:b/>
          <w:bCs/>
          <w:color w:val="FF0000"/>
          <w:sz w:val="32"/>
          <w:szCs w:val="30"/>
        </w:rPr>
        <w:t>各门课程的考试复习大纲，均在学校校本部教务处的网站公布。</w:t>
      </w:r>
    </w:p>
    <w:p>
      <w:pPr>
        <w:autoSpaceDE w:val="0"/>
        <w:autoSpaceDN w:val="0"/>
        <w:adjustRightInd w:val="0"/>
        <w:spacing w:line="500" w:lineRule="exact"/>
        <w:ind w:firstLine="600"/>
        <w:rPr>
          <w:rFonts w:hint="eastAsia" w:ascii="仿宋_GB2312" w:hAnsi="宋体" w:eastAsia="仿宋_GB2312"/>
          <w:b/>
          <w:bCs/>
          <w:color w:val="FF0000"/>
          <w:sz w:val="30"/>
          <w:szCs w:val="30"/>
        </w:rPr>
      </w:pPr>
      <w:r>
        <w:rPr>
          <w:rFonts w:hint="eastAsia" w:ascii="仿宋" w:hAnsi="仿宋" w:eastAsia="仿宋"/>
          <w:sz w:val="32"/>
          <w:szCs w:val="30"/>
        </w:rPr>
        <w:t>3.考试科目及时间安排</w:t>
      </w:r>
      <w:r>
        <w:rPr>
          <w:rFonts w:hint="eastAsia" w:ascii="仿宋" w:hAnsi="仿宋" w:eastAsia="仿宋"/>
          <w:b/>
          <w:bCs/>
          <w:color w:val="FF0000"/>
          <w:sz w:val="32"/>
          <w:szCs w:val="30"/>
          <w:lang w:eastAsia="zh-CN"/>
        </w:rPr>
        <w:t>（</w:t>
      </w:r>
      <w:r>
        <w:rPr>
          <w:rFonts w:hint="eastAsia" w:ascii="仿宋" w:hAnsi="仿宋" w:eastAsia="仿宋"/>
          <w:b/>
          <w:bCs/>
          <w:color w:val="FF0000"/>
          <w:sz w:val="32"/>
          <w:szCs w:val="30"/>
          <w:lang w:val="en-US" w:eastAsia="zh-CN"/>
        </w:rPr>
        <w:t>2016年）</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341"/>
        <w:gridCol w:w="180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3528" w:type="dxa"/>
            <w:gridSpan w:val="2"/>
            <w:vAlign w:val="center"/>
          </w:tcPr>
          <w:p>
            <w:pPr>
              <w:spacing w:line="500" w:lineRule="exact"/>
              <w:jc w:val="center"/>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1145540</wp:posOffset>
                      </wp:positionH>
                      <wp:positionV relativeFrom="paragraph">
                        <wp:posOffset>-3810</wp:posOffset>
                      </wp:positionV>
                      <wp:extent cx="1027430" cy="940435"/>
                      <wp:effectExtent l="3175" t="3810" r="17145" b="8255"/>
                      <wp:wrapNone/>
                      <wp:docPr id="1" name="直线 2"/>
                      <wp:cNvGraphicFramePr/>
                      <a:graphic xmlns:a="http://schemas.openxmlformats.org/drawingml/2006/main">
                        <a:graphicData uri="http://schemas.microsoft.com/office/word/2010/wordprocessingShape">
                          <wps:wsp>
                            <wps:cNvCnPr/>
                            <wps:spPr>
                              <a:xfrm>
                                <a:off x="0" y="0"/>
                                <a:ext cx="1027430" cy="9404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2pt;margin-top:-0.3pt;height:74.05pt;width:80.9pt;z-index:251660288;mso-width-relative:page;mso-height-relative:page;" filled="f" stroked="t" coordsize="21600,21600" o:gfxdata="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CtKP1wAAAAkBAAAPAAAAAAAAAAEAIAAAACIA&#10;AABkcnMvZG93bnJldi54bWxQSwECFAAUAAAACACHTuJA/sHcqdEBAACSAwAADgAAAAAAAAABACAA&#10;AAAmAQAAZHJzL2Uyb0RvYy54bWxQSwUGAAAAAAYABgBZAQAAaQ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45085</wp:posOffset>
                      </wp:positionV>
                      <wp:extent cx="2171700" cy="891540"/>
                      <wp:effectExtent l="1905" t="4445" r="17145" b="18415"/>
                      <wp:wrapNone/>
                      <wp:docPr id="2" name="直线 3"/>
                      <wp:cNvGraphicFramePr/>
                      <a:graphic xmlns:a="http://schemas.openxmlformats.org/drawingml/2006/main">
                        <a:graphicData uri="http://schemas.microsoft.com/office/word/2010/wordprocessingShape">
                          <wps:wsp>
                            <wps:cNvCnPr/>
                            <wps:spPr>
                              <a:xfrm>
                                <a:off x="0" y="0"/>
                                <a:ext cx="21717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1pt;margin-top:3.55pt;height:70.2pt;width:171pt;z-index:251661312;mso-width-relative:page;mso-height-relative:page;" filled="f" stroked="t" coordsize="21600,21600" o:gfxdata="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4bXjA0wAAAAYBAAAPAAAAAAAAAAEAIAAAACIA&#10;AABkcnMvZG93bnJldi54bWxQSwECFAAUAAAACACHTuJAm0WG29UBAACSAwAADgAAAAAAAAABACAA&#10;AAAiAQAAZHJzL2Uyb0RvYy54bWxQSwUGAAAAAAYABgBZAQAAaQUAAAAA&#10;">
                      <v:fill on="f" focussize="0,0"/>
                      <v:stroke color="#000000" joinstyle="round"/>
                      <v:imagedata o:title=""/>
                      <o:lock v:ext="edit" aspectratio="f"/>
                    </v:line>
                  </w:pict>
                </mc:Fallback>
              </mc:AlternateContent>
            </w:r>
            <w:r>
              <w:rPr>
                <w:rFonts w:hint="eastAsia" w:ascii="宋体" w:hAnsi="宋体"/>
                <w:sz w:val="24"/>
              </w:rPr>
              <w:t>　　  考试科目　　 考试时间</w:t>
            </w:r>
          </w:p>
          <w:p>
            <w:pPr>
              <w:spacing w:line="500" w:lineRule="exact"/>
              <w:rPr>
                <w:rFonts w:hint="eastAsia" w:ascii="宋体" w:hAnsi="宋体"/>
                <w:sz w:val="24"/>
              </w:rPr>
            </w:pPr>
            <w:r>
              <w:rPr>
                <w:rFonts w:hint="eastAsia" w:ascii="宋体" w:hAnsi="宋体"/>
                <w:sz w:val="24"/>
              </w:rPr>
              <w:t>考生</w:t>
            </w:r>
          </w:p>
          <w:p>
            <w:pPr>
              <w:spacing w:line="500" w:lineRule="exact"/>
              <w:rPr>
                <w:rFonts w:hint="eastAsia" w:ascii="宋体" w:hAnsi="宋体"/>
                <w:sz w:val="24"/>
              </w:rPr>
            </w:pPr>
            <w:r>
              <w:rPr>
                <w:rFonts w:hint="eastAsia" w:ascii="宋体" w:hAnsi="宋体"/>
                <w:sz w:val="24"/>
              </w:rPr>
              <w:t>类别</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5月21日9:00-11:00</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5月21日</w:t>
            </w:r>
          </w:p>
          <w:p>
            <w:pPr>
              <w:widowControl/>
              <w:spacing w:line="500" w:lineRule="exact"/>
              <w:jc w:val="center"/>
              <w:rPr>
                <w:rFonts w:hint="eastAsia" w:ascii="宋体" w:hAnsi="宋体"/>
                <w:sz w:val="24"/>
              </w:rPr>
            </w:pPr>
            <w:r>
              <w:rPr>
                <w:rFonts w:hint="eastAsia" w:ascii="宋体" w:hAnsi="宋体"/>
                <w:sz w:val="24"/>
              </w:rPr>
              <w:t>13:00-15:00</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5月21日</w:t>
            </w:r>
          </w:p>
          <w:p>
            <w:pPr>
              <w:widowControl/>
              <w:spacing w:line="500" w:lineRule="exact"/>
              <w:jc w:val="center"/>
              <w:rPr>
                <w:rFonts w:hint="eastAsia" w:ascii="宋体" w:hAnsi="宋体"/>
                <w:sz w:val="24"/>
              </w:rPr>
            </w:pPr>
            <w:r>
              <w:rPr>
                <w:rFonts w:hint="eastAsia" w:ascii="宋体" w:hAnsi="宋体"/>
                <w:sz w:val="24"/>
              </w:rPr>
              <w:t>15:40 -17:40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restart"/>
            <w:vAlign w:val="center"/>
          </w:tcPr>
          <w:p>
            <w:pPr>
              <w:spacing w:line="500" w:lineRule="exact"/>
              <w:jc w:val="center"/>
              <w:rPr>
                <w:rFonts w:hint="eastAsia" w:ascii="宋体" w:hAnsi="宋体"/>
                <w:sz w:val="24"/>
              </w:rPr>
            </w:pPr>
            <w:r>
              <w:rPr>
                <w:rFonts w:hint="eastAsia" w:ascii="宋体" w:hAnsi="宋体"/>
                <w:sz w:val="24"/>
              </w:rPr>
              <w:t>理工类</w:t>
            </w:r>
          </w:p>
        </w:tc>
        <w:tc>
          <w:tcPr>
            <w:tcW w:w="2341" w:type="dxa"/>
            <w:vAlign w:val="center"/>
          </w:tcPr>
          <w:p>
            <w:pPr>
              <w:spacing w:line="500" w:lineRule="exact"/>
              <w:jc w:val="center"/>
              <w:rPr>
                <w:rFonts w:hint="eastAsia" w:ascii="宋体" w:hAnsi="宋体"/>
                <w:sz w:val="24"/>
              </w:rPr>
            </w:pPr>
            <w:r>
              <w:rPr>
                <w:rFonts w:hint="eastAsia" w:ascii="宋体" w:hAnsi="宋体"/>
                <w:sz w:val="24"/>
              </w:rPr>
              <w:t>一般理工</w:t>
            </w:r>
          </w:p>
        </w:tc>
        <w:tc>
          <w:tcPr>
            <w:tcW w:w="1800" w:type="dxa"/>
            <w:vAlign w:val="center"/>
          </w:tcPr>
          <w:p>
            <w:pPr>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spacing w:line="500" w:lineRule="exact"/>
              <w:jc w:val="center"/>
              <w:rPr>
                <w:rFonts w:hint="eastAsia" w:ascii="宋体" w:hAnsi="宋体"/>
                <w:sz w:val="24"/>
              </w:rPr>
            </w:pPr>
            <w:r>
              <w:rPr>
                <w:rFonts w:hint="eastAsia" w:ascii="宋体" w:hAnsi="宋体"/>
                <w:sz w:val="24"/>
              </w:rPr>
              <w:t>高等数学</w:t>
            </w:r>
          </w:p>
        </w:tc>
        <w:tc>
          <w:tcPr>
            <w:tcW w:w="1980" w:type="dxa"/>
            <w:vAlign w:val="center"/>
          </w:tcPr>
          <w:p>
            <w:pPr>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spacing w:line="500" w:lineRule="exact"/>
              <w:jc w:val="center"/>
              <w:rPr>
                <w:rFonts w:hint="eastAsia" w:ascii="宋体" w:hAnsi="宋体"/>
                <w:sz w:val="24"/>
              </w:rPr>
            </w:pPr>
            <w:r>
              <w:rPr>
                <w:rFonts w:hint="eastAsia" w:ascii="宋体" w:hAnsi="宋体"/>
                <w:sz w:val="24"/>
              </w:rPr>
              <w:t>数学专业</w:t>
            </w:r>
          </w:p>
        </w:tc>
        <w:tc>
          <w:tcPr>
            <w:tcW w:w="1800" w:type="dxa"/>
            <w:vAlign w:val="center"/>
          </w:tcPr>
          <w:p>
            <w:pPr>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spacing w:line="500" w:lineRule="exact"/>
              <w:jc w:val="center"/>
              <w:rPr>
                <w:rFonts w:hint="eastAsia" w:ascii="宋体" w:hAnsi="宋体"/>
                <w:sz w:val="24"/>
              </w:rPr>
            </w:pPr>
            <w:r>
              <w:rPr>
                <w:rFonts w:hint="eastAsia" w:ascii="宋体" w:hAnsi="宋体"/>
                <w:sz w:val="24"/>
              </w:rPr>
              <w:t>数学综合</w:t>
            </w:r>
          </w:p>
        </w:tc>
        <w:tc>
          <w:tcPr>
            <w:tcW w:w="1980" w:type="dxa"/>
            <w:vAlign w:val="center"/>
          </w:tcPr>
          <w:p>
            <w:pPr>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计算机专业</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高等数学</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restart"/>
            <w:vAlign w:val="center"/>
          </w:tcPr>
          <w:p>
            <w:pPr>
              <w:spacing w:line="500" w:lineRule="exact"/>
              <w:jc w:val="center"/>
              <w:rPr>
                <w:rFonts w:hint="eastAsia" w:ascii="宋体" w:hAnsi="宋体"/>
                <w:sz w:val="24"/>
              </w:rPr>
            </w:pPr>
            <w:r>
              <w:rPr>
                <w:rFonts w:hint="eastAsia" w:ascii="宋体" w:hAnsi="宋体"/>
                <w:color w:val="FF0000"/>
                <w:sz w:val="24"/>
              </w:rPr>
              <w:t>文科类</w:t>
            </w:r>
          </w:p>
        </w:tc>
        <w:tc>
          <w:tcPr>
            <w:tcW w:w="2341" w:type="dxa"/>
            <w:vAlign w:val="center"/>
          </w:tcPr>
          <w:p>
            <w:pPr>
              <w:spacing w:line="500" w:lineRule="exact"/>
              <w:jc w:val="center"/>
              <w:rPr>
                <w:rFonts w:hint="eastAsia" w:ascii="宋体" w:hAnsi="宋体"/>
                <w:b/>
                <w:bCs/>
                <w:color w:val="FF0000"/>
                <w:sz w:val="24"/>
              </w:rPr>
            </w:pPr>
            <w:r>
              <w:rPr>
                <w:rFonts w:hint="eastAsia" w:ascii="宋体" w:hAnsi="宋体"/>
                <w:b/>
                <w:bCs/>
                <w:color w:val="FF0000"/>
                <w:sz w:val="24"/>
              </w:rPr>
              <w:t>文科、艺体</w:t>
            </w:r>
          </w:p>
        </w:tc>
        <w:tc>
          <w:tcPr>
            <w:tcW w:w="1800" w:type="dxa"/>
            <w:vAlign w:val="center"/>
          </w:tcPr>
          <w:p>
            <w:pPr>
              <w:spacing w:line="500" w:lineRule="exact"/>
              <w:jc w:val="center"/>
              <w:rPr>
                <w:rFonts w:hint="eastAsia" w:ascii="宋体" w:hAnsi="宋体"/>
                <w:b/>
                <w:bCs/>
                <w:color w:val="FF0000"/>
                <w:sz w:val="24"/>
              </w:rPr>
            </w:pPr>
            <w:r>
              <w:rPr>
                <w:rFonts w:hint="eastAsia" w:ascii="宋体" w:hAnsi="宋体"/>
                <w:b/>
                <w:bCs/>
                <w:color w:val="FF0000"/>
                <w:sz w:val="24"/>
              </w:rPr>
              <w:t>大学英语</w:t>
            </w:r>
          </w:p>
        </w:tc>
        <w:tc>
          <w:tcPr>
            <w:tcW w:w="1980" w:type="dxa"/>
            <w:vAlign w:val="center"/>
          </w:tcPr>
          <w:p>
            <w:pPr>
              <w:spacing w:line="500" w:lineRule="exact"/>
              <w:jc w:val="center"/>
              <w:rPr>
                <w:rFonts w:hint="eastAsia" w:ascii="宋体" w:hAnsi="宋体"/>
                <w:b/>
                <w:bCs/>
                <w:color w:val="FF0000"/>
                <w:sz w:val="24"/>
              </w:rPr>
            </w:pPr>
            <w:r>
              <w:rPr>
                <w:rFonts w:hint="eastAsia" w:ascii="宋体" w:hAnsi="宋体"/>
                <w:b/>
                <w:bCs/>
                <w:color w:val="FF0000"/>
                <w:sz w:val="24"/>
              </w:rPr>
              <w:t>大学语文</w:t>
            </w:r>
          </w:p>
        </w:tc>
        <w:tc>
          <w:tcPr>
            <w:tcW w:w="1980" w:type="dxa"/>
            <w:vAlign w:val="center"/>
          </w:tcPr>
          <w:p>
            <w:pPr>
              <w:spacing w:line="500" w:lineRule="exact"/>
              <w:jc w:val="center"/>
              <w:rPr>
                <w:rFonts w:hint="eastAsia" w:ascii="宋体" w:hAnsi="宋体"/>
                <w:b/>
                <w:bCs/>
                <w:color w:val="FF0000"/>
                <w:sz w:val="24"/>
              </w:rPr>
            </w:pPr>
            <w:r>
              <w:rPr>
                <w:rFonts w:hint="eastAsia" w:ascii="宋体" w:hAnsi="宋体"/>
                <w:b/>
                <w:bCs/>
                <w:color w:val="FF0000"/>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英语专业</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英语综合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大学语文</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日语专业</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日语综合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大学语文</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汉语言文学专业</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汉语言文学综合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Align w:val="center"/>
          </w:tcPr>
          <w:p>
            <w:pPr>
              <w:spacing w:line="500" w:lineRule="exact"/>
              <w:jc w:val="center"/>
              <w:rPr>
                <w:rFonts w:hint="eastAsia" w:ascii="宋体" w:hAnsi="宋体"/>
                <w:sz w:val="24"/>
              </w:rPr>
            </w:pPr>
            <w:r>
              <w:rPr>
                <w:rFonts w:hint="eastAsia" w:ascii="宋体" w:hAnsi="宋体"/>
                <w:sz w:val="24"/>
              </w:rPr>
              <w:t>经管类</w:t>
            </w:r>
          </w:p>
        </w:tc>
        <w:tc>
          <w:tcPr>
            <w:tcW w:w="2341" w:type="dxa"/>
            <w:vAlign w:val="center"/>
          </w:tcPr>
          <w:p>
            <w:pPr>
              <w:spacing w:line="500" w:lineRule="exact"/>
              <w:jc w:val="center"/>
              <w:rPr>
                <w:rFonts w:hint="eastAsia" w:ascii="宋体" w:hAnsi="宋体"/>
                <w:sz w:val="24"/>
              </w:rPr>
            </w:pPr>
          </w:p>
        </w:tc>
        <w:tc>
          <w:tcPr>
            <w:tcW w:w="1800" w:type="dxa"/>
            <w:vAlign w:val="center"/>
          </w:tcPr>
          <w:p>
            <w:pPr>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spacing w:line="500" w:lineRule="exact"/>
              <w:jc w:val="center"/>
              <w:rPr>
                <w:rFonts w:hint="eastAsia" w:ascii="宋体" w:hAnsi="宋体"/>
                <w:sz w:val="24"/>
              </w:rPr>
            </w:pPr>
            <w:r>
              <w:rPr>
                <w:rFonts w:hint="eastAsia" w:ascii="宋体" w:hAnsi="宋体"/>
                <w:sz w:val="24"/>
              </w:rPr>
              <w:t>经济数学</w:t>
            </w:r>
          </w:p>
        </w:tc>
        <w:tc>
          <w:tcPr>
            <w:tcW w:w="1980" w:type="dxa"/>
            <w:vAlign w:val="center"/>
          </w:tcPr>
          <w:p>
            <w:pPr>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5"/>
            <w:vAlign w:val="center"/>
          </w:tcPr>
          <w:p>
            <w:pPr>
              <w:spacing w:line="500" w:lineRule="exact"/>
              <w:jc w:val="center"/>
              <w:rPr>
                <w:rFonts w:hint="eastAsia" w:ascii="宋体" w:hAnsi="宋体"/>
                <w:sz w:val="24"/>
              </w:rPr>
            </w:pPr>
            <w:r>
              <w:rPr>
                <w:rFonts w:hint="eastAsia" w:ascii="宋体" w:hAnsi="宋体"/>
                <w:sz w:val="24"/>
              </w:rPr>
              <w:t>备注：“工程造价”专业考“高等数学”</w:t>
            </w:r>
          </w:p>
        </w:tc>
      </w:tr>
    </w:tbl>
    <w:p>
      <w:pPr>
        <w:spacing w:line="500" w:lineRule="exact"/>
        <w:ind w:firstLine="640" w:firstLineChars="200"/>
        <w:rPr>
          <w:rFonts w:hint="eastAsia" w:ascii="仿宋" w:hAnsi="仿宋" w:eastAsia="仿宋"/>
          <w:b/>
          <w:bCs/>
          <w:color w:val="FF0000"/>
          <w:sz w:val="32"/>
          <w:szCs w:val="30"/>
        </w:rPr>
      </w:pPr>
      <w:r>
        <w:rPr>
          <w:rFonts w:hint="eastAsia" w:ascii="仿宋" w:hAnsi="仿宋" w:eastAsia="仿宋"/>
          <w:sz w:val="32"/>
          <w:szCs w:val="30"/>
        </w:rPr>
        <w:t xml:space="preserve">4. </w:t>
      </w:r>
      <w:r>
        <w:rPr>
          <w:rFonts w:hint="eastAsia" w:ascii="仿宋" w:hAnsi="仿宋" w:eastAsia="仿宋"/>
          <w:b/>
          <w:bCs/>
          <w:color w:val="FF0000"/>
          <w:sz w:val="32"/>
          <w:szCs w:val="30"/>
        </w:rPr>
        <w:t>“专升本”成绩计算。</w:t>
      </w:r>
      <w:r>
        <w:rPr>
          <w:rFonts w:hint="eastAsia" w:ascii="仿宋" w:hAnsi="仿宋" w:eastAsia="仿宋"/>
          <w:sz w:val="32"/>
          <w:szCs w:val="30"/>
        </w:rPr>
        <w:t>根据四川省教育厅文件精神，我校专升本成绩由原专科阶段的</w:t>
      </w:r>
      <w:r>
        <w:rPr>
          <w:rFonts w:hint="eastAsia" w:ascii="仿宋" w:hAnsi="仿宋" w:eastAsia="仿宋"/>
          <w:b/>
          <w:bCs/>
          <w:color w:val="FF0000"/>
          <w:sz w:val="32"/>
          <w:szCs w:val="30"/>
        </w:rPr>
        <w:t>必修课程</w:t>
      </w:r>
      <w:r>
        <w:rPr>
          <w:rFonts w:hint="eastAsia" w:ascii="仿宋" w:hAnsi="仿宋" w:eastAsia="仿宋"/>
          <w:sz w:val="32"/>
          <w:szCs w:val="30"/>
        </w:rPr>
        <w:t>（学分制的）或考试课程（非学分制）</w:t>
      </w:r>
      <w:r>
        <w:rPr>
          <w:rFonts w:hint="eastAsia" w:ascii="仿宋" w:hAnsi="仿宋" w:eastAsia="仿宋"/>
          <w:b/>
          <w:bCs/>
          <w:color w:val="FF0000"/>
          <w:sz w:val="32"/>
          <w:szCs w:val="30"/>
        </w:rPr>
        <w:t>成绩占20%</w:t>
      </w:r>
      <w:r>
        <w:rPr>
          <w:rFonts w:hint="eastAsia" w:ascii="仿宋" w:hAnsi="仿宋" w:eastAsia="仿宋"/>
          <w:sz w:val="32"/>
          <w:szCs w:val="30"/>
        </w:rPr>
        <w:t>（实践环节由于其计算的差异性较大，暂不纳入计算），</w:t>
      </w:r>
      <w:r>
        <w:rPr>
          <w:rFonts w:hint="eastAsia" w:ascii="仿宋" w:hAnsi="仿宋" w:eastAsia="仿宋"/>
          <w:b/>
          <w:bCs/>
          <w:color w:val="FF0000"/>
          <w:sz w:val="32"/>
          <w:szCs w:val="30"/>
        </w:rPr>
        <w:t>“专升本”考试成绩占80%计算。</w:t>
      </w:r>
      <w:r>
        <w:rPr>
          <w:rFonts w:hint="eastAsia" w:ascii="仿宋" w:hAnsi="仿宋" w:eastAsia="仿宋"/>
          <w:sz w:val="32"/>
          <w:szCs w:val="30"/>
        </w:rPr>
        <w:t>专科阶段20%成绩的计算方法是：</w:t>
      </w:r>
      <w:r>
        <w:rPr>
          <w:rFonts w:hint="eastAsia" w:ascii="仿宋" w:hAnsi="仿宋" w:eastAsia="仿宋"/>
          <w:b/>
          <w:bCs/>
          <w:color w:val="FF0000"/>
          <w:sz w:val="32"/>
          <w:szCs w:val="30"/>
        </w:rPr>
        <w:t>首先计算各门必修（或考试）课程的成绩之总和（不同专业其总和课程门数可能有不同），将成绩总和除以计算的课程门数，得到课程平均成绩，再乘以20%算出专科阶段成绩</w:t>
      </w:r>
      <w:r>
        <w:rPr>
          <w:rFonts w:hint="eastAsia" w:ascii="仿宋" w:hAnsi="仿宋" w:eastAsia="仿宋"/>
          <w:sz w:val="32"/>
          <w:szCs w:val="30"/>
        </w:rPr>
        <w:t>（计算的课程中，</w:t>
      </w:r>
      <w:r>
        <w:rPr>
          <w:rFonts w:hint="eastAsia" w:ascii="仿宋" w:hAnsi="仿宋" w:eastAsia="仿宋"/>
          <w:b/>
          <w:bCs/>
          <w:color w:val="FF0000"/>
          <w:sz w:val="32"/>
          <w:szCs w:val="30"/>
        </w:rPr>
        <w:t>如果有通过补考或重修方才合格的〈无论分数高低〉，均按60分纳入计算）</w:t>
      </w:r>
      <w:r>
        <w:rPr>
          <w:rFonts w:hint="eastAsia" w:ascii="仿宋" w:hAnsi="仿宋" w:eastAsia="仿宋"/>
          <w:sz w:val="32"/>
          <w:szCs w:val="30"/>
        </w:rPr>
        <w:t>；专升本考试80%成绩的计算方法是：</w:t>
      </w:r>
      <w:r>
        <w:rPr>
          <w:rFonts w:hint="eastAsia" w:ascii="仿宋" w:hAnsi="仿宋" w:eastAsia="仿宋"/>
          <w:b/>
          <w:bCs/>
          <w:color w:val="FF0000"/>
          <w:sz w:val="32"/>
          <w:szCs w:val="30"/>
        </w:rPr>
        <w:t>本次考试3门课程成绩之和除以3，得到平均成绩，再乘以80%算出专升本考试成绩。</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 xml:space="preserve">5.奖励办法   </w:t>
      </w:r>
    </w:p>
    <w:p>
      <w:pPr>
        <w:spacing w:line="500" w:lineRule="exact"/>
        <w:ind w:firstLine="480" w:firstLineChars="150"/>
        <w:rPr>
          <w:rFonts w:hint="eastAsia" w:ascii="仿宋" w:hAnsi="仿宋" w:eastAsia="仿宋"/>
          <w:b/>
          <w:bCs/>
          <w:color w:val="FF0000"/>
          <w:sz w:val="32"/>
          <w:szCs w:val="30"/>
        </w:rPr>
      </w:pPr>
      <w:r>
        <w:rPr>
          <w:rFonts w:hint="eastAsia" w:ascii="仿宋" w:hAnsi="仿宋" w:eastAsia="仿宋"/>
          <w:sz w:val="32"/>
          <w:szCs w:val="30"/>
        </w:rPr>
        <w:t>（1）</w:t>
      </w:r>
      <w:r>
        <w:rPr>
          <w:rFonts w:hint="eastAsia" w:ascii="仿宋" w:hAnsi="仿宋" w:eastAsia="仿宋"/>
          <w:b/>
          <w:bCs/>
          <w:color w:val="FF0000"/>
          <w:sz w:val="32"/>
          <w:szCs w:val="30"/>
        </w:rPr>
        <w:t>在校期间获得市、州以上人民政府奖励，或毕业时获得</w:t>
      </w:r>
      <w:r>
        <w:rPr>
          <w:rFonts w:hint="eastAsia" w:ascii="仿宋" w:hAnsi="仿宋" w:eastAsia="仿宋"/>
          <w:b/>
          <w:bCs/>
          <w:color w:val="FF0000"/>
          <w:sz w:val="32"/>
          <w:szCs w:val="30"/>
        </w:rPr>
        <w:t>“四川省普通高等学校优秀毕业生” 荣誉等特别优秀的应届专科毕业生给予奖励分4分。</w:t>
      </w:r>
    </w:p>
    <w:p>
      <w:pPr>
        <w:spacing w:line="500" w:lineRule="exact"/>
        <w:ind w:firstLine="480" w:firstLineChars="150"/>
        <w:rPr>
          <w:rFonts w:hint="eastAsia" w:ascii="仿宋" w:hAnsi="仿宋" w:eastAsia="仿宋"/>
          <w:b/>
          <w:bCs/>
          <w:color w:val="FF0000"/>
          <w:sz w:val="32"/>
          <w:szCs w:val="30"/>
        </w:rPr>
      </w:pPr>
      <w:r>
        <w:rPr>
          <w:rFonts w:hint="eastAsia" w:ascii="仿宋" w:hAnsi="仿宋" w:eastAsia="仿宋"/>
          <w:sz w:val="32"/>
          <w:szCs w:val="30"/>
        </w:rPr>
        <w:t>（2）凡符合选拔基本条件的专科生在校期间，在</w:t>
      </w:r>
      <w:r>
        <w:rPr>
          <w:rFonts w:hint="eastAsia" w:ascii="仿宋" w:hAnsi="仿宋" w:eastAsia="仿宋"/>
          <w:b/>
          <w:bCs/>
          <w:color w:val="FF0000"/>
          <w:sz w:val="32"/>
          <w:szCs w:val="30"/>
        </w:rPr>
        <w:t>数学建模竞赛、电子设计竞赛中获奖，或CET-4（英语专业学生CET-6）合格、国家或省计算机二级证书获得者(非计算机专业)，</w:t>
      </w:r>
      <w:r>
        <w:rPr>
          <w:rFonts w:hint="eastAsia" w:ascii="仿宋" w:hAnsi="仿宋" w:eastAsia="仿宋"/>
          <w:sz w:val="32"/>
          <w:szCs w:val="30"/>
        </w:rPr>
        <w:t>按下表给予奖励分，同时</w:t>
      </w:r>
      <w:r>
        <w:rPr>
          <w:rFonts w:hint="eastAsia" w:ascii="仿宋" w:hAnsi="仿宋" w:eastAsia="仿宋"/>
          <w:b/>
          <w:bCs/>
          <w:color w:val="FF0000"/>
          <w:sz w:val="32"/>
          <w:szCs w:val="30"/>
        </w:rPr>
        <w:t>获多种奖励加分条件者，只按最高一类加分，不重复加分计算。</w:t>
      </w:r>
    </w:p>
    <w:tbl>
      <w:tblPr>
        <w:tblStyle w:val="3"/>
        <w:tblW w:w="800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217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top"/>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奖励项目</w:t>
            </w:r>
          </w:p>
        </w:tc>
        <w:tc>
          <w:tcPr>
            <w:tcW w:w="2176" w:type="dxa"/>
            <w:vAlign w:val="top"/>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获奖等级</w:t>
            </w:r>
          </w:p>
        </w:tc>
        <w:tc>
          <w:tcPr>
            <w:tcW w:w="2145" w:type="dxa"/>
            <w:vAlign w:val="top"/>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9" w:hRule="atLeast"/>
          <w:jc w:val="center"/>
        </w:trPr>
        <w:tc>
          <w:tcPr>
            <w:tcW w:w="3685" w:type="dxa"/>
            <w:vMerge w:val="restart"/>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数学建模竞赛</w:t>
            </w: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国家级</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仿宋_GB2312" w:hAnsi="宋体" w:eastAsia="仿宋_GB2312"/>
                <w:sz w:val="30"/>
                <w:szCs w:val="30"/>
              </w:rPr>
            </w:pP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省一等</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仿宋_GB2312" w:hAnsi="宋体" w:eastAsia="仿宋_GB2312"/>
                <w:sz w:val="30"/>
                <w:szCs w:val="30"/>
              </w:rPr>
            </w:pP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省二等</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restart"/>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电子设计竞赛</w:t>
            </w: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国家级</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仿宋_GB2312" w:hAnsi="宋体" w:eastAsia="仿宋_GB2312"/>
                <w:sz w:val="30"/>
                <w:szCs w:val="30"/>
              </w:rPr>
            </w:pP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省一等</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仿宋_GB2312" w:hAnsi="宋体" w:eastAsia="仿宋_GB2312"/>
                <w:sz w:val="30"/>
                <w:szCs w:val="30"/>
              </w:rPr>
            </w:pP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省二等</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CET-4</w:t>
            </w:r>
          </w:p>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（英语专业学生CET-6）</w:t>
            </w: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合格</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center"/>
          </w:tcPr>
          <w:p>
            <w:pPr>
              <w:widowControl/>
              <w:spacing w:line="500" w:lineRule="exact"/>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全国或省计算机二级</w:t>
            </w:r>
          </w:p>
          <w:p>
            <w:pPr>
              <w:spacing w:line="500" w:lineRule="exact"/>
              <w:jc w:val="center"/>
              <w:rPr>
                <w:rFonts w:hint="eastAsia" w:ascii="仿宋_GB2312" w:hAnsi="宋体" w:eastAsia="仿宋_GB2312"/>
                <w:sz w:val="30"/>
                <w:szCs w:val="30"/>
              </w:rPr>
            </w:pPr>
            <w:r>
              <w:rPr>
                <w:rFonts w:hint="eastAsia" w:ascii="仿宋_GB2312" w:hAnsi="宋体" w:eastAsia="仿宋_GB2312" w:cs="宋体"/>
                <w:kern w:val="0"/>
                <w:sz w:val="30"/>
                <w:szCs w:val="30"/>
              </w:rPr>
              <w:t>（非计算机专业）</w:t>
            </w:r>
          </w:p>
        </w:tc>
        <w:tc>
          <w:tcPr>
            <w:tcW w:w="2176"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证书</w:t>
            </w:r>
          </w:p>
        </w:tc>
        <w:tc>
          <w:tcPr>
            <w:tcW w:w="2145" w:type="dxa"/>
            <w:vAlign w:val="center"/>
          </w:tcPr>
          <w:p>
            <w:pPr>
              <w:spacing w:line="500" w:lineRule="exact"/>
              <w:jc w:val="center"/>
              <w:rPr>
                <w:rFonts w:hint="eastAsia" w:ascii="仿宋_GB2312" w:hAnsi="宋体" w:eastAsia="仿宋_GB2312"/>
                <w:sz w:val="30"/>
                <w:szCs w:val="30"/>
              </w:rPr>
            </w:pPr>
            <w:r>
              <w:rPr>
                <w:rFonts w:hint="eastAsia" w:ascii="仿宋_GB2312" w:hAnsi="宋体" w:eastAsia="仿宋_GB2312"/>
                <w:sz w:val="30"/>
                <w:szCs w:val="30"/>
              </w:rPr>
              <w:t>1.5</w:t>
            </w:r>
          </w:p>
        </w:tc>
      </w:tr>
    </w:tbl>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6.成绩公布与录取</w:t>
      </w:r>
    </w:p>
    <w:p>
      <w:pPr>
        <w:spacing w:line="500" w:lineRule="exact"/>
        <w:ind w:firstLine="480" w:firstLineChars="150"/>
        <w:rPr>
          <w:rFonts w:hint="eastAsia" w:ascii="仿宋" w:hAnsi="仿宋" w:eastAsia="仿宋"/>
          <w:b/>
          <w:bCs/>
          <w:color w:val="FF0000"/>
          <w:sz w:val="32"/>
          <w:szCs w:val="30"/>
        </w:rPr>
      </w:pPr>
      <w:r>
        <w:rPr>
          <w:rFonts w:hint="eastAsia" w:ascii="仿宋" w:hAnsi="仿宋" w:eastAsia="仿宋"/>
          <w:sz w:val="32"/>
          <w:szCs w:val="30"/>
        </w:rPr>
        <w:t>（1）学生所在学院（校区）应将学生考试成绩书面通知到学生本人。</w:t>
      </w:r>
      <w:r>
        <w:rPr>
          <w:rFonts w:hint="eastAsia" w:ascii="仿宋" w:hAnsi="仿宋" w:eastAsia="仿宋"/>
          <w:b/>
          <w:bCs/>
          <w:color w:val="FF0000"/>
          <w:sz w:val="32"/>
          <w:szCs w:val="30"/>
        </w:rPr>
        <w:t>西华大学以</w:t>
      </w:r>
      <w:r>
        <w:rPr>
          <w:rFonts w:hint="eastAsia" w:ascii="仿宋" w:hAnsi="仿宋" w:eastAsia="仿宋"/>
          <w:sz w:val="32"/>
          <w:szCs w:val="30"/>
        </w:rPr>
        <w:t>考生专科阶段20%的成绩、专升本考试80%的成绩和奖励办法中的奖励分，</w:t>
      </w:r>
      <w:r>
        <w:rPr>
          <w:rFonts w:hint="eastAsia" w:ascii="仿宋" w:hAnsi="仿宋" w:eastAsia="仿宋"/>
          <w:b/>
          <w:bCs/>
          <w:color w:val="FF0000"/>
          <w:sz w:val="32"/>
          <w:szCs w:val="30"/>
        </w:rPr>
        <w:t>三者相加后的总成绩进行排名。综合学生素质，原则上从高分到低分，按照西华大学划定的录取分数线初步确定“专升本”拟录取名单，经学生所在学院（校区）张榜公示后由西华大学报四川省教育厅审批。</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（2）按照《四川省教育厅关于进一步做好在川普通高校大学生参军入伍工作的通知》（川教函〔2015〕431号）要求，</w:t>
      </w:r>
      <w:r>
        <w:rPr>
          <w:rFonts w:hint="eastAsia" w:ascii="仿宋" w:hAnsi="仿宋" w:eastAsia="仿宋"/>
          <w:b/>
          <w:bCs/>
          <w:color w:val="FF0000"/>
          <w:sz w:val="32"/>
          <w:szCs w:val="30"/>
        </w:rPr>
        <w:t>高职（专科）学生应征入伍服义务兵役退役，在完成高职（专科）学业后参加普通“专升本”考试，实行计划单列，录取比例50%</w:t>
      </w:r>
      <w:r>
        <w:rPr>
          <w:rFonts w:hint="eastAsia" w:ascii="仿宋" w:hAnsi="仿宋" w:eastAsia="仿宋"/>
          <w:sz w:val="32"/>
          <w:szCs w:val="30"/>
        </w:rPr>
        <w:t>。拟录取名单公示时间不少于5个工作日。</w:t>
      </w:r>
    </w:p>
    <w:p>
      <w:pPr>
        <w:spacing w:line="500" w:lineRule="exact"/>
        <w:ind w:firstLine="480" w:firstLineChars="150"/>
        <w:rPr>
          <w:rFonts w:hint="eastAsia" w:ascii="仿宋" w:hAnsi="仿宋" w:eastAsia="仿宋"/>
          <w:sz w:val="32"/>
          <w:szCs w:val="30"/>
        </w:rPr>
      </w:pPr>
      <w:r>
        <w:rPr>
          <w:rFonts w:hint="eastAsia" w:ascii="仿宋" w:hAnsi="仿宋" w:eastAsia="仿宋"/>
          <w:sz w:val="32"/>
          <w:szCs w:val="30"/>
        </w:rPr>
        <w:t>（3）在完成校内专升本计划基础上，考虑往年已录取学生放弃报到的情况，以及我校专升本计划整体完成情况，专升本工作领导小组可根据学校办学条件、学科特点、专业差异、人才培养标准等，划定各类别各专业的录取分数线，择优确定计划外拟录取名单。</w:t>
      </w:r>
    </w:p>
    <w:p>
      <w:pPr>
        <w:spacing w:line="500" w:lineRule="exact"/>
        <w:ind w:firstLine="480" w:firstLineChars="150"/>
        <w:rPr>
          <w:rFonts w:ascii="仿宋" w:hAnsi="仿宋" w:eastAsia="仿宋"/>
          <w:sz w:val="32"/>
          <w:szCs w:val="30"/>
        </w:rPr>
      </w:pPr>
      <w:r>
        <w:rPr>
          <w:rFonts w:hint="eastAsia" w:ascii="仿宋" w:hAnsi="仿宋" w:eastAsia="仿宋"/>
          <w:sz w:val="32"/>
          <w:szCs w:val="30"/>
        </w:rPr>
        <w:t>（4）录取工作一次完成。</w:t>
      </w:r>
      <w:r>
        <w:rPr>
          <w:rFonts w:hint="eastAsia" w:ascii="仿宋" w:hAnsi="仿宋" w:eastAsia="仿宋"/>
          <w:b/>
          <w:bCs/>
          <w:color w:val="FF0000"/>
          <w:sz w:val="32"/>
          <w:szCs w:val="30"/>
        </w:rPr>
        <w:t>拟录取学生名单经公示无异议后，学校通过“信息平台”报送相关电子录取信息。</w:t>
      </w:r>
      <w:r>
        <w:rPr>
          <w:rFonts w:hint="eastAsia" w:ascii="仿宋" w:hAnsi="仿宋" w:eastAsia="仿宋"/>
          <w:sz w:val="32"/>
          <w:szCs w:val="30"/>
        </w:rPr>
        <w:t>信息数据填报成功，待教育厅审核后，学校以公函形式将录取名册纸质文档（一式三份）报教育厅备案。</w:t>
      </w:r>
      <w:r>
        <w:rPr>
          <w:rFonts w:hint="eastAsia" w:ascii="仿宋" w:hAnsi="仿宋" w:eastAsia="仿宋"/>
          <w:b/>
          <w:bCs/>
          <w:color w:val="FF0000"/>
          <w:sz w:val="32"/>
          <w:szCs w:val="30"/>
        </w:rPr>
        <w:t>经四川省教育厅审批同意“专升本”的学生，在秋季开学后升入西华大学相同或相近专业本科三年级学习</w:t>
      </w:r>
      <w:r>
        <w:rPr>
          <w:rFonts w:hint="eastAsia" w:ascii="仿宋" w:hAnsi="仿宋" w:eastAsia="仿宋"/>
          <w:sz w:val="32"/>
          <w:szCs w:val="30"/>
        </w:rPr>
        <w:t>。学生所在学院（校区）将“专升本”学生档案材料送西华大学教务处。</w:t>
      </w:r>
    </w:p>
    <w:p>
      <w:pPr>
        <w:spacing w:line="500" w:lineRule="exact"/>
        <w:ind w:firstLine="640" w:firstLineChars="200"/>
        <w:rPr>
          <w:rFonts w:hint="eastAsia" w:ascii="仿宋" w:hAnsi="仿宋" w:eastAsia="仿宋"/>
          <w:sz w:val="32"/>
          <w:szCs w:val="30"/>
        </w:rPr>
      </w:pPr>
      <w:r>
        <w:rPr>
          <w:rFonts w:hint="eastAsia" w:ascii="仿宋" w:hAnsi="仿宋" w:eastAsia="仿宋"/>
          <w:sz w:val="32"/>
          <w:szCs w:val="30"/>
        </w:rPr>
        <w:t>7.取消录取资格规定</w:t>
      </w:r>
    </w:p>
    <w:p>
      <w:pPr>
        <w:spacing w:line="500" w:lineRule="exact"/>
        <w:ind w:firstLine="480" w:firstLineChars="150"/>
        <w:rPr>
          <w:rFonts w:hint="eastAsia" w:ascii="仿宋" w:hAnsi="仿宋" w:eastAsia="仿宋"/>
          <w:b/>
          <w:bCs/>
          <w:color w:val="FF0000"/>
          <w:sz w:val="32"/>
          <w:szCs w:val="30"/>
        </w:rPr>
      </w:pPr>
      <w:r>
        <w:rPr>
          <w:rFonts w:hint="eastAsia" w:ascii="仿宋" w:hAnsi="仿宋" w:eastAsia="仿宋"/>
          <w:sz w:val="32"/>
          <w:szCs w:val="30"/>
        </w:rPr>
        <w:t>（1）</w:t>
      </w:r>
      <w:r>
        <w:rPr>
          <w:rFonts w:hint="eastAsia" w:ascii="仿宋" w:hAnsi="仿宋" w:eastAsia="仿宋"/>
          <w:b/>
          <w:bCs/>
          <w:color w:val="FF0000"/>
          <w:sz w:val="32"/>
          <w:szCs w:val="30"/>
        </w:rPr>
        <w:t>在公示学生名单中，若发现有不符合省教育厅及学校“专升本”文件精神者，学校取消其“专升本”资格；</w:t>
      </w:r>
    </w:p>
    <w:p>
      <w:pPr>
        <w:spacing w:line="500" w:lineRule="exact"/>
        <w:ind w:firstLine="480" w:firstLineChars="150"/>
        <w:rPr>
          <w:rFonts w:hint="eastAsia" w:ascii="仿宋" w:hAnsi="仿宋" w:eastAsia="仿宋"/>
          <w:b/>
          <w:bCs/>
          <w:color w:val="FF0000"/>
          <w:sz w:val="32"/>
          <w:szCs w:val="30"/>
        </w:rPr>
      </w:pPr>
      <w:r>
        <w:rPr>
          <w:rFonts w:hint="eastAsia" w:ascii="仿宋" w:hAnsi="仿宋" w:eastAsia="仿宋"/>
          <w:sz w:val="32"/>
          <w:szCs w:val="30"/>
        </w:rPr>
        <w:t>（2）</w:t>
      </w:r>
      <w:r>
        <w:rPr>
          <w:rFonts w:hint="eastAsia" w:ascii="仿宋" w:hAnsi="仿宋" w:eastAsia="仿宋"/>
          <w:b/>
          <w:bCs/>
          <w:color w:val="FF0000"/>
          <w:sz w:val="32"/>
          <w:szCs w:val="30"/>
        </w:rPr>
        <w:t>在公示学生名单中，若有本期课程首次考核不合格者，学校取消其</w:t>
      </w:r>
      <w:bookmarkStart w:id="0" w:name="_GoBack"/>
      <w:bookmarkEnd w:id="0"/>
      <w:r>
        <w:rPr>
          <w:rFonts w:hint="eastAsia" w:ascii="仿宋" w:hAnsi="仿宋" w:eastAsia="仿宋"/>
          <w:b/>
          <w:bCs/>
          <w:color w:val="FF0000"/>
          <w:sz w:val="32"/>
          <w:szCs w:val="30"/>
        </w:rPr>
        <w:t>“专升本”资格</w:t>
      </w:r>
      <w:r>
        <w:rPr>
          <w:rFonts w:hint="eastAsia" w:ascii="仿宋" w:hAnsi="仿宋" w:eastAsia="仿宋"/>
          <w:b/>
          <w:bCs/>
          <w:color w:val="FF0000"/>
          <w:sz w:val="32"/>
          <w:szCs w:val="30"/>
          <w:lang w:eastAsia="zh-CN"/>
        </w:rPr>
        <w:t>。</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804E7"/>
    <w:rsid w:val="2DE804E7"/>
    <w:rsid w:val="35464F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2017-03-06T09:34:00Z</dcterms:created>
  <dc:creator>罗成聪</dc:creator>
  <cp:lastModifiedBy>罗成聪</cp:lastModifiedBy>
  <dcterms:modified xsi:type="dcterms:W3CDTF">2017-03-07T00:55:31Z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